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2011 36 vom 9. November 2012</w:t>
      </w:r>
    </w:p>
    <w:p>
      <w:r>
        <w:t>GR Gerichte, 2012-11-09, DE</w:t>
      </w:r>
    </w:p>
    <w:p>
      <w:r>
        <w:rPr>
          <w:b/>
        </w:rPr>
        <w:t xml:space="preserve">Quelle: </w:t>
      </w:r>
      <w:r>
        <w:t>https://mcp.opencaselaw.ch/entscheid/gr_gerichte_ZK2 2011 36</w:t>
      </w:r>
    </w:p>
    <w:p>
      <w:r>
        <w:t>FR: GR_GERICHTE ZK2 2011 36 du 9 novembre 2012</w:t>
      </w:r>
    </w:p>
    <w:p>
      <w:r>
        <w:t>IT: GR_GERICHTE ZK2 2011 36 del 9 novembre 2012</w:t>
      </w:r>
    </w:p>
    <w:p>
      <w:pPr>
        <w:pStyle w:val="Heading2"/>
      </w:pPr>
      <w:r>
        <w:t>Regeste</w:t>
      </w:r>
    </w:p>
    <w:p>
      <w:r>
        <w:t>Ersatzvornahme | Berufung OR Werkvertrag/Verlagsvertrag</w:t>
      </w:r>
    </w:p>
    <w:p>
      <w:pPr>
        <w:pStyle w:val="Heading2"/>
      </w:pPr>
      <w:r>
        <w:t>Erwägungen</w:t>
      </w:r>
    </w:p>
    <w:p>
      <w:r>
        <w:rPr>
          <w:b/>
        </w:rPr>
        <w:t>E. 5</w:t>
      </w:r>
    </w:p>
    <w:p>
      <w:r>
        <w:t>und 6 mangels Passivlegitimation abzuweisen sei (angefochtenes Urteil, S. 9). Dieser Auffassung ist zu folgen. Soweit die Berufungskläger in diesem Zusammen- hang vorbringen, es ergebe sich weder aus den Verträgen noch aus den weiteren Verkaufsunterlagen die Absicht der Verkäuferin, dass den Architekten und Ingeni- euren eine besondere Behandlung mit Blick auf die Gewährleistung eingeräumt werden sollte, ist ihnen der Wortlaut der betreffenden Vertragsbestimmung (Ziff. 3 Abs. 4) entgegenzuhalten. Gestützt auf die darin genannte Abtretung der Rechte aus den Garantieverpflichtungen gegenüber Unternehmern, Handwerkern und Lie- feranten wird den Berufungsklägern das Recht eingeräumt, entsprechende An- sprüche gegen die Genannten direkt geltend zu machen. Damit erfolgt gegenüber den aufgezählten Berufsgruppen eine Besserstellung der Berufungskläger. Nicht Teil der vertraglichen Aufzählung bilden hingegen die Berufsgruppen der Architek- ten und Ingenieure, womit die Rechte der Verkäuferin aus den Garantieverpflichtun- gen gegenüber den Berufungsbeklagten 5 und 6 eben gerade nicht an die Beru- fungskläger abgetreten worden sind. Zu Recht hat die Vorinstanz diesbezüglich festgehalten, dass eine Aufzählung einzelner Personen nicht nötig gewesen wäre, wenn sämtliche, am Bau beteiligten Personen gemeint gewesen wären. Ebenfalls</w:t>
      </w:r>
    </w:p>
    <w:p>
      <w:r>
        <w:t>Seite 20 — 31 unbehelflich ist der Einwand der Berufungskläger, die vorinstanzliche Auslegung des Vertrags habe zur Folge, dass die Verantwortlichkeit einer Berufsgruppe völlig unerwartet ausgeschlossen werde respektive in Bezug auf diese nur eine ausser- vertragliche Haftung vorliege. Wie bereits an anderer Stelle ausgeführt (vgl. E. 5.a/bb), haftet die Verkäuferschaft im Falle, dass nur die Ansprüche gegen einen Teil der Baubeteiligten an die Käuferschaft abgetreten werden, für die Leistungsan- teile der übrigen Baubeteiligten und kann sich diesfalls nicht auf ihren völligen Haf- tungsausschluss berufen. Es verhält sich demzufolge einzig derart, dass die Beru- fungskläger mangels entsprechender Abtretung der Gewährleistungsansprüche ge- genüber den Beklagten 5 und 6 keine direkten Nachbesserungsansprüche geltend machen können. Indes haben sie die Möglichkeit, sich bei Vorliegen eines von der Bauleitung zu vertretenden Mangels gegenüber den Berufungsbeklagten 1 – 4, wel- che sich als Bauherrschaft das Verhalten ihrer Hilfspersonen als ihr eigenes anrech- nen lassen muss, schadlos zu halten und den Nachbesserungsanspruch diesen ge- genüber geltend zu machen. Die Vorinstanz hat die Klage mangels Passivlegitima- tion der Berufungsbeklagten 5 und 6 folglich zu Recht abgewiesen und die Berufung erweist sich in diesem Punkt als unbegründet. 6.a. In Bezug auf den geltend gemachten Werkmangel hat das Bezirksgericht Ma- loja in Erwägung gezogen, dass die Kläger in den jeweiligen Verträgen anerkannt hätten, vom Inhalt der Erklärung auf Begründung von Stockwerkeigentum samt all- fälligen Nachträgen, vom Reglement der StWEG und von den Aufteilungsplänen Kenntnis zu haben sowie im Besitz des Baubeschriebs zu sein. Aufgrund der ihnen zur Verfügung stehenden Unterlagen und Informationen hätten die Kläger gewusst bzw. hätten wissen können, dass eine Zentralheizung im Haus Nr. 4 für alle anderen Häuser vorgesehen gewesen sei, dass es sich dabei um eine Ölheizung handeln würde, dass der Kamin und das Abluftrohr auf der hinteren Seite des Hauses Nr. 4, etwa in der Mitte des Gebäudes und rechts vom Lichtschacht zu stehen kommen sollte sowie dass der Kamin über Dach geführt und bis etwa zur Firsthöhe ragen würde. Demzufolge hätten die Kläger gewusst bzw. hätten sie davon ausgehen müssen, dass der auf Höhe der Parterrewohnungen des Hauses Nr. 2 austretende Rauch, je nach Windverhältnissen, gegen die eigenen Wohnungen getragen wer- den könnte. Des Weiteren stehe fest, dass die Heizung inklusive Kamin und Abluft- rohr vertragsgemäss, d.h. am vereinbarten Ort und in der vereinbarten Weise, aus- geführt worden seien; zumindest hätten die Kläger nichts Gegenteiliges behauptet. Zudem sei den Klägern auch nicht vertraglich zugesichert worden, dass die Heizung keinen Rauch bzw. Dampf entwickeln würde. Ebenfalls gelte es festzuhalten, dass nie behauptet worden sei, die Heizung bzw. der Kamin würden die feuerpolizeilichen</w:t>
      </w:r>
    </w:p>
    <w:p>
      <w:r>
        <w:t>Seite 21 — 31 Normen nicht einhalten. Mitunter vermöchten auch die eingereichten Aufnahmen nicht zu beweisen, dass der Wind den aus dem Kamin austretenden Rauch perma- nent in Richtung des Hauses Nr. 4 (recte Nr. 2) blase. Schliesslich habe auch an- lässlich des Augenscheins vom 9. Februar 2011 festgestellt werden können, dass der Rauch nicht andauernd aus dem Kamin heraustrete und dass er bei windstillen Verhältnissen gerade in den Himmel gestiegen sei. Aus dem Gesagten ergebe sich, dass ein Mangel an der Heizungsanlage bzw. am Kamin nicht ausgewiesen sei, infolgedessen auf die Einholung der von den Klägern beantragten Expertise ver- zichtet werden könne. Zudem erübrige es sich, auf die Voraussetzungen der Bevor- schussung für die Ersatzvornahme sowie auf die Frage der Verjährung bzw. der Verwirkung des Anspruchs auf Ersatzvornahme einzugehen (angefochtenes Urteil, S. 13 f.). b. Die Berufungskläger halten die vorinstanzliche Begründung für widersprüch- lich. So werde im Wesentlichen auf ein Kriterium abgestellt, das für das Vorliegen eines Werkmangels nicht erfüllt sein müsse. Denn es sei nicht erforderlich, dass die Abgase permanent gegen das Haus Nr. 2 geweht würden. Vielmehr genüge schon der begründete Verdacht, dass es sich um einen gesundheitsgefährdenden Werk- mangel handle. Weiter genüge es, wenn der Gebrauchszweck auch nur teilweise eingeschränkt werde. Darüber hinaus sei die Begründung auch deshalb unhaltbar, weil die Vorinstanz verkannt habe, dass der eigentliche Mangel in den Unterlagen des Kaufvertrags und im Baubeschrieb nirgends Erwähnung finde. Wohl sei es nachweislich so gewesen, dass die Berufungsbeklagten ihrerseits sehr wohl die Ge- fahr des Mangels vorgängig erkannt hätten. Sie hätten es aber unterlassen, auf das konkrete Problem hinzuweisen. Vielmehr hätten sie einzig die Position der Heizung im Haus Nr. 4 angegeben. Über die Problematik der Windverhältnisse und insbe- sondere die sachverhaltlich festgestellten Verwirbelungen der Luftbewegungen zwi- schen dem Haus Nr. 4 und dem Haus Nr. 2 suche man indessen vergeblich Hin- weise in den Kaufunterlagen. Mithin hätten die Berufungsbeklagten den eventuell auftretenden Mangel absichtlich verschwiegen, seien die Erkenntnisse aus den Vor- abklärungen doch bewusst in keiner Weise erwähnt worden. Den Berufungsklägern im Nachhinein vorzuhalten, sie hätten einen absichtlich verschwiegenen, potentiell zukünftig auftretenden Mangel aufgrund der Kaufverträge und der Dokumentation ohne jegliche Hinweise auf die einschlägige Problematik erkennen müssen, sei ge- radezu absurd. Dass die Berufungsbeklagten ihrerseits Fachleute mit der Abklärung einer möglichen Problematik beauftragt hätten, belege zudem, dass die Frage der Einwirkung der Abgase nicht offensichtlich und somit nicht aus den Plänen erkenn- bar gewesen sei. Die Schlussfolgerungen der Vorinstanz liessen einzig erkennen,</w:t>
      </w:r>
    </w:p>
    <w:p>
      <w:r>
        <w:t>Seite 22 — 31 dass sie trotz des treuwidrigen Verhaltens der Berufungsbeklagten diesen im Rah- men der Urteilsfällung ein ungewöhnlich grosses Wohlwollen habe zuteil kommen lassen. Da sich aus dem Kaufvertrag und der Verkaufsdokumentation nicht ergebe, dass aufgrund der besonderen Wetterverhältnisse mit Rauchimmissionen zu rech- nen sein werde und weil im Zeitpunkt der Vertragsunterzeichnungen diese Frage mangels Fertigstellung des Werks nicht überprüfbar gewesen sei, könne der An- spruch nicht wegen Erkennbarkeit des Mangels abgewiesen werden. Vielmehr sei es so, dass jeder vernünftige Käufer einer Stockwerkeigentumswohnung davon ausgehen dürfe, dass eine derartig grundlegende Einschränkung respektive ein derart gesundheitsgefährdender Mangel nicht einfach nachträglich als bekannt und genehmigt qualifiziert werde, nachdem die Verkäufer absichtlich die vorhandenen Zweifel verschwiegen hätten (vgl. Berufung RA Lardi, act. 01, S. 14 f.). c. Wird ein Grundstück verkauft, auf dem ein Gebäude erstellt werden soll oder sich bereits im Bau befindet, so können die Parteien einen (reinen) Kaufvertrag, einen gemischten Grundstückkauf-/Werkvertrag oder zusammengesetzte Verträge abschliessen (Schumacher/Rüegg, a.a.O., N 140 ff. S. 225 f.). Die Vor-instanz hat zutreffend festgehalten, dass im vorliegenden Fall von einem gemischten Vertrag auszugehen ist, da die Entschädigung für den Boden und für die Erstellung des Bauwerks nicht aufgeteilt, sondern in einem Gesamtpreis zusammengefasst wor- den ist (vgl. Kaufverträge KB 4A – D; BGE 118 II 142 E. 1.a S. 144). Beim gemisch- ten Kauf-/Werkvertrag ist die Mängelhaftung für das Gebäude insgesamt dem Werk- vertragsrecht zu unterstellen (Schumacher/ Rüegg, a.a.O., N 147 S. 227; BGE 118 II 142 E. 1.a S. 144). Der Werkmangel, der die Mängelhaftung des Unternehmers begründet, besteht in einer Abweichung des Werks vom Vertrag (Art. 368 OR). Der Werkmangel ist somit ein vertragswidriger Zustand des Werks, der darin besteht, dass dem Werk eine vertraglich geforderte Eigenschaft fehlt (Peter Gauch, Der Werkvertrag, 5. Aufl., Zürich 2011, N 1355 f.). Innerhalb dieser Definition wird zwischen dem Fehlen einer vereinbarten Eigenschaft und dem Fehlen einer vorausgesetzten Eigenschaft diffe- renziert. Danach darf der Besteller in guten Treuen erwarten, dass das Werk bei seiner Ablieferung nicht nur die vereinbarten Werkeigenschaften, sondern auch jene Eigenschaften aufweist, die ohne dahingehende Vereinbarung vorausgesetzt sind (Gauch, Werkvertrag, N 1361 und 1406). Die meisten Werkverträge enthalten ausdrückliche oder stillschweigende Eigenschaftsvereinbarungen. Das sind Ver- tragsabreden, in denen die Parteien vereinbaren, dass das geschuldete Werk be- stimmte, durch die Abrede festgelegte Eigenschaften aufzuweisen hat. Bei den Ei-</w:t>
      </w:r>
    </w:p>
    <w:p>
      <w:r>
        <w:t>Seite 23 — 31 genschaften des Werks, die Gegenstand einer solchen Abrede bilden, handelt es sich um «vereinbarte» Eigenschaften (Gauch, Werkvertrag, N 1362). Demgegenü- ber bestehen die «vorausgesetzten» Eigenschaften mit Bezug auf die Normalbe- schaffenheit sowie hinsichtlich der Gebrauchstauglichkeit des Werks. Soweit die Ei- genschaften, die das Werk bei seiner Ablieferung aufweisen muss, nicht durch Par- teivereinbarung bestimmt sind, greift die Regel ein, wonach der Besteller Anspruch auf ein Werk hat, das «normal» beschaffen und gebrauchstauglich ist. Diese Regel, die den Inhalt des Werkvertrags sinnvoll ergänzt, hat zwar keinen Niederschlag in einer dispositiven Gesetzesbestimmung gefunden, entspricht aber der Verkehrs- übung und – was die Gebrauchstauglichkeit betrifft – dem Zweck der vom Unter- nehmer geschuldeten Leistung. Mithin schuldet der Unternehmer auch ohne dahin- gehende Vereinbarung ein Werk, das eine normale Beschaffenheit aufweist. Des- halb darf der Besteller mangels anderer Abrede ein Werk in dieser Beschaffenheit erwarten und jede negative Abweichung des Werks von der normalen Beschaffen- heit stellt einen Werkmangel dar. Die normale Beschaffenheit des Werks bestimmt sich nach dem, was für ein Werk der betreffenden Art und Gebrauchsbestimmung gebräuchlich ist. Massgebend sind diesbezüglich die Grundsätze, welche die Ver- kehrsanschauung als objektiv vernünftig und richtig anzusehen pflegt (vgl. Gauch, Werkvertrag, N 1406 ff.). Unter dem Gesichtspunkt der vorausgesetzten Eigen- schaften schuldet der Unternehmer des Weiteren ein Werk, das zum Gebrauch tauglich ist (Gauch, Werkvertrag, N 1413). Mangels anderer Abrede kommt es dar- auf an, was der Besteller unter den gegebenen Umständen, unter Einbezug öffent- lichrechtlicher Bestimmungen und einer einschlägigen Verkehrsanschauung, von einem solchen Werk vernünftigerweise erwarten darf (Gauch, Werkvertrag, N 1427 und 1432). d. Im Baubeschrieb (Überbauung „F.“, Z. [1. Etappe Häuser 1 – 4]; BB 4 [der Berufungsbeklagten 5 – 6]) wird unter „BKP 240 Heizungsanlagen“ festgehalten, dass die Heizzentrale im Untergeschoss des Hauses Nr. 4 mit einer Fernversorgung zu den anderen Häusern eingeplant und mit einer Ölheizung gemäss Normen und Vorschriften der Luftreinhalteverordnung betrieben werde. Der Kamin werde in Chromnickelstahl mit Steinwollisolation in einem Installationsschacht bis über das Dach geführt (S. 5). Aus den eingereichten Plänen geht ebenfalls hervor, dass der Heizungsraum im Untergeschoss des Hauses Nr. 4 geplant war (vgl. Plan „Einstell- halle 1:250, KB 9). Des Weiteren kann dem Plan „Haus 4, 1:200, Fassaden, Schnitt“ (KB 9) entnommen werden, dass auf der Rückseite des Hauses Nr. 4 – und zwar etwa in der Mitte des Gebäudes – zwei Kamine eingezeichnet sind. Und die Skizze auf dem Titelblatt der Verkaufsdokumentation (KB 9, S. 1) macht deutlich, dass die</w:t>
      </w:r>
    </w:p>
    <w:p>
      <w:r>
        <w:t>Seite 24 — 31 Parterrewohnungen des Hauses Nr. 2 etwa auf der Firsthöhe des Hauses Nr. 4 geplant waren. Die Berufungskläger haben in den entsprechenden Kaufverträgen ausdrücklich bestätigt, von allen Eintragungen auf dem Blatt der Liegenschaft als Ganzes sowie vom Inhalt der Erklärung auf Begründung von Stockwerkeigentum samt allfälligen Nachträgen, vom Reglement der Stockwerkeigentümergemein- schaft und von den Aufteilungsplänen Kenntnis zu haben sowie den Inhalt des Bau- beschriebs anzuerkennen (vgl. KB 4A-D, Weitere Vertragsbestimmungen, Ziffern 8 und 9 der deutschen Fassung bzw. Ziffern 9 und 10 der italienischen Fassungen). Besagte Bestimmungen regeln mithin Beschaffenheit, Platzierung und Anforderun- gen an die Heizanlage und an den dazugehörenden Kamin. Ebenso geht daraus hervor, welchen Vorgaben sowohl technischer als auch baulicher Art der Kamin zu genügen hat. e. Den im Recht liegenden Unterlagen und Dokumentationen ist zu entnehmen, dass das Werk einerseits den baulichen und vertraglichen Vorgaben entspricht und andererseits jene Eigenschaften aufweist, welche versprochen und vereinbart wor- den sind und welche auch den Berufungsklägern im Zeitpunkt der Vertragsab- schlüsse bekannt waren. Insoweit liegt keine Abweichung vom Vertrag und demzu- folge auch kein Werkmangel vor. Das Werk ist denn auch baupolizeilich abgenom- men worden. Des Weiteren belegen die entsprechenden Rapporte der amtlichen Feuerungskontrollen (Heizperioden 2004/2005, 2006/2007 und 2009/2010; vgl. Dossier Editionen), dass die Heizungsanlage/Kamin den gesetzlichen bzw. feuer- polizeilichen Anforderungen entspricht und die dem Kamin entsteigenden Abgase die massgeblichen Grenzwerte der Luftreinhalte-Verordnung (LRV; SR 814.318.142.1), deren Zweck darin besteht, Menschen vor schädlichen und lästigen Luftverunreinigungen zu schützen (vgl. Art. 1 Abs. 1 LRV), nicht überschreiten. So werden in Ziffer 411 des Anhangs 3 zur LRV die zulässigen Emissionsgrenzwerte für Feuerungen, welche mit Heizöl «Extra leicht» betrieben werden, festgesetzt (Russzahl: 1; Kohlenmonoxid [CO]: 80 mg/m3; Stickoxide [Nox], angegeben als Stickstoffdioxid: 120 mg/m3). Diese Emissionsgrenzwerte werden vorliegendenfalls eingehalten bzw. unterschritten (vgl. Rapporte der amtl. Feuerungskontrolle [Dos- sier Editionen]). Indessen fällt auf, dass die Berufungsbeklagten 5 und 6 bei der Berechnung der Einhaltung der Mindestabstände zwischen den Häusern Nr. 2 und Nr. 4 entgegen den Angaben in den vorgenannten Rapporten der amtlichen Feue- rungskontrollen jeweils von einer zu niedrigen Wärmeleistung der betreffenden Hei- zungsanlage ausgegangen sind. Während sie in ihrem Schreiben an Herrn O. vom 1. Oktober 2002 (KB 14) von einer Wärmeleistung von 200 kW ausgingen und ba- sierend auf den Empfehlungen des BUWAL zur Ermittlung des minimalen Abstands</w:t>
      </w:r>
    </w:p>
    <w:p>
      <w:r>
        <w:t>Seite 25 — 31 von Kaminaustritten zu Nachbarbauten folglich einen Mindestabstand von 10.70 m ([200 kW : 35] + 5) errechnet haben, wurde der Berechnung des Mindestabstands in KB 15 gar eine Wärmeleistung von lediglich 150 kW zugrunde gelegt, woraus ein Mindestgebäudeabstand von 9.3 m ([150 kW : 35] + 5) resultierte. Den Rapporten der amtlichen Feuerungskontrollen dagegen ist zu entnehmen, dass die betreffende Heizung über eine Wärmeleistung von 285 kW verfügt. Unter Berücksichtigung die- ser Wärmeleistung ergibt sich in Anwendung der Formel des BUWAL ein erforder- licher Mindestgebäudeabstand von nunmehr 13.10 m ([285 kW : 35] + 5). Damit wird nun aber der vorliegend tatsächlich bestehende Abstand zwischen den Häu- sern Nr. 2 und Nr. 4 von 12.80 m (KB 14 und 15) überschritten und das in diesem Zusammenhang von den Berufungsbeklagten 1 – 4 vorgebrachte Argument, wo- nach der Kamin den behördlich vorgeschriebenen Abstand zum Haus Nr. 2 deutlich einhalte, zielt insoweit ins Leere. Daraus können die Berufungsbeklagten 1 – 4 folg- lich nichts zu ihren Gunsten herleiten, namentlich kann aus diesem Umstand ent- gegen deren Auffassung gerade nicht auf das Nichtvorhandensein eines Mangels geschlossen werden. Unter diesen Umständen ist denn auch fraglich, ob es sach- gerecht ist, einzig auf die Einhaltung der öffentlich-rechtlichen Grenzwerte der LRV abzustellen, zumal die Berufungskläger als direkt Betroffene zweifellos stärker von den konkreten Rauch- und Geruchsimmissionen, deren Vorhandensein nicht einmal von der Gegenseite in Abrede gestellt wird, eingeschränkt werden und in höherem Masse davon tangiert sind, als die damit nicht in unmittelbaren Kontakt tretende Allgemeinheit. In diesem Zusammenhang kann alsdann auch die aktenkundige Empfehlung der Schweizerischen Kamin- und Abgasanlagenvereinigung (SKAV; KB 15) nicht unberücksichtigt bleiben. Aus dieser geht nämlich nicht nur hervor, dass die Heizungsanlage aufgrund der vorliegenden topographischen Situation (Hanglage) sowie der Anordnung der Häuser Nr. 2 und Nr. 4 unbedingt in das höchst gelegene Haus gehört; darüber hinaus wird die konkrete Projektierung gar als Ex- trembeispiel bezeichnet, welches in der Praxis nicht angewandt werden sollte. Es kann daher davon ausgegangen werden, dass die Bauleitung bereits im Vorfeld ge- wisse Zweifel in Bezug auf die geplante Positionierung der Heizungsanlage sowie damit allenfalls einhergehenden Rauchimmissionen hegte, sich jedoch ungeachtet der von dieser Variante abratenden Empfehlung des SKAV dafür entschieden hat, an der geplanten Projektierung festzuhalten. f. Aufgrund der vorliegenden Akten kann ein Mangel demzufolge nicht ausge- schlossen werden, sodass es angezeigt erscheint, die Sache – wie von den Beru- fungsklägern bereits im vorinstanzlichen Verfahren beantragt – zwecks Einholung einer Expertise an die Vorinstanz zurückzuweisen. Das entsprechende Gutachten</w:t>
      </w:r>
    </w:p>
    <w:p>
      <w:r>
        <w:t>Seite 26 — 31 wird sich insbesondere mit der Dauer, der Häufigkeit und der Intensität des Hei- zungsbetriebs sowie den damit in Zusammenhang stehenden Rauch- und Geruchs- immissionen auseinanderzusetzen haben. Des Weiteren werden darin die Unklar- heiten in Bezug auf die konkreten Windverhältnisse und die entsprechenden Wind- verwirbelungen zu klären sein. Ebenfalls von Bedeutung wird die Frage sein, ob die austretenden Abgase zu einer Schädigung der Gesundheit der betroffenen Stock- werkeigentümer führen können oder diese vielmehr unbedenklich sind. Vor der Ein- holung einer dementsprechenden Expertise hat die Vorinstanz aber ohnehin die Parteien anzuhören und diesen die Gelegenheit einzuräumen, sich zur Fragestel- lung zu äussern sowie Änderungs- oder Ergänzungsanträge zu stellen (Art. 183 Abs. 1 und Art. 185 Abs. 2 ZPO). Angesichts der vorgenannten Umstände ist nicht nachvollziehbar, aus welchem Grund die Vorinstanz von der Einholung einer Expertise abgesehen hat und einzig aufgrund der Akten sowie aus den Erkenntnissen anlässlich des Augenscheins zum Schluss gelangt ist, es liege kein Mangel vor. So vermag denn auch die Begründung der Vorinstanz nicht zu überzeugen. Zum einen ist für die Frage, ob ein Mangel vorliegt, nicht von Relevanz, ob der den Mangel begründende Rauch permanent in Richtung des Hauses Nr. 4 bläst oder dieser andauernd aus dem Kamin austritt. Vielmehr darf unter dem Gesichtspunkt der gewöhnlichen Gebrauchstauglichkeit er- wartet werden, dass die Wohnräume in einem neu erstellten Gebäude durch das Öffnen der Fenster mit Frischluft versorgt werden können, ohne dass – unabhängig von der zeitlichen Komponente – zugleich störende und unter Umständen gesund- heitsgefährdende Abgase der nahegelegenen Heizungsanlage hereinströmen (vgl. hierzu auch die beispielhafte Aufzählung bei Gauch, Werkvertrag, N 1422). Die Vor- instanz hat diesbezüglich mithin auf ein unzulässiges Kriterium abgestellt. Zum an- deren erscheinen aber auch die weiteren Ausführungen widersprüchlich. So wird zwar festgehalten, dass sich das von den Berufungsklägern behauptete Phänomen einzig in einer sehr beschränkten Jahres- und Tageszeit manifestiere, während gleichzeitig konstatiert wird, dass es zu diesen Zeiten auch nicht üblich sei, die Fenster über längere Zeit offen zu lassen, so dass es überhaupt fraglich sei, ob Rauch in die Wohnungen der Berufungskläger in dem von ihnen geltend gemachten Ausmass eindringe (vgl. angefochtenes Urteil, S. 14). Dieser Begründung ist zu ent- nehmen, dass selbst die Vorinstanz aufgrund der Aktenlage sowie den Erkenntnis- sen anlässlich des Augenscheins davon auszugehen scheint, dass zu gewissen Zeiten tatsächlich Rauch in die Wohnungen des Hauses Nr. 4 gelangt, sie diesem Umstand aber damit begegnen will, die Fenster zu verschliessen, da es ihrer Mei- nung nach ohnehin nicht üblich sei, diese während der betreffenden Zeit offen zu</w:t>
      </w:r>
    </w:p>
    <w:p>
      <w:r>
        <w:t>Seite 27 — 31 lassen. Diese Auffassung ist nicht haltbar. Wie bereits erwähnt, darf ein Besteller bzw. Käufer einer neu zu erstellenden Stockwerkeigentumseinheit in guten Treuen sehr wohl erwarten, dass es ihm möglich sein wird, seine Wohnräume bei offenen Fenstern zu lüften, ohne dass gleichzeitig vom tiefer gelegenen Heizungsraum bzw. dessen Kamin austretende Abgase in dessen Wohnräume eindringen. Es kann mit- hin auch nicht angehen, den betroffenen Stockwerkeigentümern gewissermassen vorzuschreiben, zu welchen Tages- und Nachtzeiten es der allgemeinen Usanz ent- spricht, die Fenster zu öffnen und die Wohnung zu lüften; dies sollte wohl doch je- dem einzelnen selbst überlassen sein. g. Nach dem Gesagten ist die Sache demzufolge im Sinne der Erwägungen an die Vorinstanz zurückzuweisen, da der Sachverhalt in wesentlichen Teilen – na- mentlich zwecks Einholung einer Expertise – zu vervollständigen ist (Art. 318 Abs. 1 lit. a Ziff. 2 ZPO) und die bei den Akten liegenden Dokumente keine genügende Grundlage für die Beurteilung der Frage nach dem Vorliegen eines Mangels bilden. So ist es grundsätzlich nicht Aufgabe der Berufungsinstanz, den Sachverhalt an- stelle der ersten Instanz zu erstellen oder vor erster Instanz nicht abgenommene Beweismittel zu erheben (vgl. Peter Reetz/Sarah Hilber, in: Sutter-Somm/Hasen- böhler/Leuenberger [Hrsg.], Kommentar zur Schweizerischen Zivilprozessordnung [ZPO], Zürich 2010, N 35 f. zu Art. 318 ZPO). Die Vorinstanz wird sich vorweg sinn- vollerweise mit der Frage der rechtzeitigen Mängelrüge bzw. der von den Beru- fungsbeklagten 1 – 4 geltend gemachten Einrede der Verwirkung resp. der Ver- jährung des Nachbesserungsanspruchs zu befassen haben, zumal sich die Anord- nung der entsprechenden Expertise für den Fall, dass die Mängelrüge tatsächlich verspätet erfolgt sein sollte, erübrigt. Die ratio legis der Rückweisung besteht darin, dass den Parteien keine Nachteile entstehen sollen, weil nur die Berufungsinstanz (und nicht auch die erste Instanz) über wichtige Tat- und Rechtsfragen entschieden hat. Würde das Kantonsgericht seinerseits den Sachverhalt in wesentlichen Teilen ergänzen und die Einholung einer Expertise anordnen sowie die Frage der Ver- jährung bzw. der Verwirkung beurteilen, würde es darüber als einzige Instanz mit voller Kognition befinden (vgl. Reetz/Hilber, a.a.O., N 29 zu Art. 318 ZPO; Peter Volkart, in: Brunner/Gasser/Schwander [Hrsg.], DIKE-Kommentar ZPO, Zürich/St. Gallen 2011, N 5 zu Art. 318 ZPO; Alexander Brunner, in: Paul Oberhammer [Hrsg.], Kurzkommentar ZPO, Basel 2010, N 3 zu Art. 318 ZPO). Dies würde dem Prinzip der doppelten Instanz auf kantonaler Ebene zuwiderlaufen (vgl. Peter Reetz, in: Sut- ter-Somm/Hasenböhler/Leuenberger [Hrsg.], Kommentar zur Schweizerischen Zi- vilprozessordnung [ZPO], Zürich 2010, N 8 ff. zu den Vorbemerkungen zu den Art. 308 – 318 ZPO). Das Bezirksgericht Maloja wird dabei auch über die Kosten des</w:t>
      </w:r>
    </w:p>
    <w:p>
      <w:r>
        <w:t>Seite 28 — 31 erstinstanzlichen Verfahrens neu zu entscheiden haben, welcher Entscheid nicht vom Kantonsgericht vorwegzunehmen ist.</w:t>
      </w:r>
    </w:p>
    <w:p>
      <w:r>
        <w:rPr>
          <w:b/>
        </w:rPr>
        <w:t>E. 7</w:t>
      </w:r>
    </w:p>
    <w:p>
      <w:r>
        <w:t>Gemäss Art. 106 Abs. 1 ZPO werden die Prozesskosten – bestehend aus den Gerichtskosten und der Parteientschädigung (Art. 95 Abs. 1 ZPO) – der unter- liegenden Partei auferlegt. Hat keine Partei vollständig obsiegt, so werden die Pro- zesskosten nach dem Ausgang des Verfahrens verteilt (Art. 106 Abs. 2 ZPO). a. Mit Bezug auf die Berufungsbeklagten 5 und 6 wurde die Berufung abgewie- sen. Diese vermochten mit ihren Anträgen auf Abweisung der Berufung mithin durchzudringen, weshalb sie als obsiegend zu betrachten sind und ihnen folglich keine Gerichtskosten auferlegt werden dürfen. In diesem Umfang gehen die Ge- richtskosten entsprechend zu Lasten der Berufungskläger. Hinsichtlich der Beru- fungsbeklagten 1 – 4 wurde die Berufung dahingehend entschieden, als das ange- fochtene Urteil aufgehoben und die Sache im Sinne der Erwägungen zur Fortset- zung des Verfahrens an die Vorinstanz zurückgewiesen wird. Die Rückweisung der Sache zu erneuter Abklärung (mit noch offenem Ausgang) gilt gemäss bundesge- richtlicher Praxis für die Frage der Auferlegung der Gerichtskosten wie auch der Parteientschädigung als volles Obsiegen, unabhängig davon, ob sie überhaupt be- antragt oder ob das Begehren im Haupt- oder im Eventualantrag gestellt wird (vgl. statt vieler die Urteile des Bundesgerichts 8C_418/2012 vom 29. Oktober 2012, E. 4.4.1; 8C_269/2012 vom 12. Oktober 2012, E. 7, je mit weiteren Hinweisen). Dem- entsprechend sind die Gerichtskosten diesbezüglich den Berufungsbeklagten 1 – 4 aufzuerlegen. Angesichts dessen, dass in Bezug auf die Berufungsbeklagten 5 und 6 einzig die Frage der Passivlegitimation zu beurteilen war, sowie unter Berücksich- tigung der sich stellenden Sach- und Rechtsfragen und des daraus resultierenden Aufwands im Zusammenhang mit den Berufungsbeklagten 1 – 4 erscheint eine Ver- teilung der Gerichtskosten im Verhältnis von 1/5 zu 4/5 als den Umständen ange- messen. Folglich gehen die Gerichtskosten in Höhe von Fr. 6‘000.-- im Umfang von 1/5 zu Lasten der Berufungskläger und im Umfang von 4/5 zu Lasten der Berufungs- beklagten 1 – 4. b. Nach den gleichen Grundsätzen wie die gerichtlichen sind die aussergericht- lichen Kosten zu verteilen. Da die Rechtsvertreter es unterlassen haben, eine de- taillierte Honorarnote vorzulegen, ist die Höhe der Parteientschädigungen nach rich- terlichem Ermessen festzusetzen. Angesichts des Obsiegens bzw. Unterliegens so- wie des jeweiligen Aufwands der Rechtsvertreter erscheint eine aussergerichtliche Entschädigung zugunsten der Berufungsbeklagten 5 und 6 von Fr. 2‘000.-- (inkl.</w:t>
      </w:r>
    </w:p>
    <w:p>
      <w:r>
        <w:t>Seite 29 — 31 MWSt) einerseits und eine solche von Fr. 4‘000.-- (inkl. MWSt) zugunsten der Be- rufungskläger andererseits als angemessen.</w:t>
      </w:r>
    </w:p>
    <w:p>
      <w:r>
        <w:t>Seite 30 —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